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5E" w:rsidRDefault="00067A01" w:rsidP="00314B5E">
      <w:pPr>
        <w:tabs>
          <w:tab w:val="left" w:pos="11199"/>
        </w:tabs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314B5E">
        <w:rPr>
          <w:sz w:val="28"/>
          <w:szCs w:val="28"/>
        </w:rPr>
        <w:t>Приложение № 4</w:t>
      </w:r>
      <w:r w:rsidR="00314B5E">
        <w:rPr>
          <w:sz w:val="28"/>
          <w:szCs w:val="28"/>
        </w:rPr>
        <w:tab/>
      </w:r>
      <w:r w:rsidR="00314B5E">
        <w:rPr>
          <w:sz w:val="28"/>
          <w:szCs w:val="28"/>
        </w:rPr>
        <w:tab/>
      </w:r>
      <w:r w:rsidR="00314B5E">
        <w:rPr>
          <w:sz w:val="28"/>
          <w:szCs w:val="28"/>
        </w:rPr>
        <w:tab/>
      </w:r>
      <w:r w:rsidR="00314B5E">
        <w:rPr>
          <w:sz w:val="28"/>
          <w:szCs w:val="28"/>
        </w:rPr>
        <w:tab/>
      </w:r>
      <w:r>
        <w:rPr>
          <w:sz w:val="28"/>
          <w:szCs w:val="28"/>
        </w:rPr>
        <w:t>Приложение</w:t>
      </w:r>
      <w:r w:rsidR="00314B5E">
        <w:rPr>
          <w:sz w:val="28"/>
          <w:szCs w:val="28"/>
        </w:rPr>
        <w:t xml:space="preserve"> № 3</w:t>
      </w:r>
    </w:p>
    <w:p w:rsidR="00067A01" w:rsidRPr="00314B5E" w:rsidRDefault="00314B5E" w:rsidP="00314B5E">
      <w:pPr>
        <w:tabs>
          <w:tab w:val="left" w:pos="11199"/>
        </w:tabs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067A01">
        <w:rPr>
          <w:sz w:val="28"/>
          <w:szCs w:val="28"/>
        </w:rPr>
        <w:t>к Подпрограмме</w:t>
      </w:r>
    </w:p>
    <w:p w:rsidR="00067A01" w:rsidRDefault="00067A01" w:rsidP="00067A01">
      <w:pPr>
        <w:jc w:val="center"/>
      </w:pPr>
      <w:r>
        <w:rPr>
          <w:b/>
          <w:sz w:val="28"/>
          <w:szCs w:val="28"/>
        </w:rPr>
        <w:t xml:space="preserve">СВЕДЕНИЯ </w:t>
      </w:r>
    </w:p>
    <w:p w:rsidR="00067A01" w:rsidRDefault="00067A01" w:rsidP="00067A01">
      <w:pPr>
        <w:spacing w:after="480"/>
        <w:jc w:val="center"/>
      </w:pPr>
      <w:r>
        <w:rPr>
          <w:b/>
          <w:sz w:val="28"/>
          <w:szCs w:val="28"/>
        </w:rPr>
        <w:t xml:space="preserve">об отдельном мероприятии «Налоговые расходы» </w:t>
      </w:r>
      <w:r>
        <w:rPr>
          <w:b/>
          <w:bCs/>
          <w:sz w:val="28"/>
          <w:szCs w:val="28"/>
        </w:rPr>
        <w:t>Подпрограммы</w:t>
      </w:r>
    </w:p>
    <w:tbl>
      <w:tblPr>
        <w:tblW w:w="0" w:type="auto"/>
        <w:tblInd w:w="-262" w:type="dxa"/>
        <w:tblLook w:val="0000" w:firstRow="0" w:lastRow="0" w:firstColumn="0" w:lastColumn="0" w:noHBand="0" w:noVBand="0"/>
      </w:tblPr>
      <w:tblGrid>
        <w:gridCol w:w="1813"/>
        <w:gridCol w:w="1712"/>
        <w:gridCol w:w="1035"/>
        <w:gridCol w:w="937"/>
        <w:gridCol w:w="890"/>
        <w:gridCol w:w="946"/>
        <w:gridCol w:w="882"/>
        <w:gridCol w:w="1133"/>
        <w:gridCol w:w="5478"/>
      </w:tblGrid>
      <w:tr w:rsidR="00067A01" w:rsidTr="00FF0D1E">
        <w:trPr>
          <w:trHeight w:val="1284"/>
          <w:tblHeader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Наименование налогового расхода (по видам налогов)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Наименование показателя, на</w:t>
            </w:r>
            <w:r w:rsidR="003F239F">
              <w:t xml:space="preserve"> </w:t>
            </w:r>
            <w:r>
              <w:t>значение (достижение) которого оказывает влияние налоговый расход</w:t>
            </w:r>
          </w:p>
        </w:tc>
        <w:tc>
          <w:tcPr>
            <w:tcW w:w="5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Оценка налогового расхода (тыс. рублей)</w:t>
            </w:r>
          </w:p>
        </w:tc>
        <w:tc>
          <w:tcPr>
            <w:tcW w:w="5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 xml:space="preserve">Краткое обоснование необходимости применения </w:t>
            </w:r>
          </w:p>
          <w:p w:rsidR="00067A01" w:rsidRDefault="00067A01" w:rsidP="00FF0D1E">
            <w:pPr>
              <w:jc w:val="center"/>
            </w:pPr>
            <w:r>
              <w:t>налогового расхода для достижения цели (целей) Подпрограммы</w:t>
            </w:r>
          </w:p>
        </w:tc>
      </w:tr>
      <w:tr w:rsidR="00067A01" w:rsidTr="00FF0D1E">
        <w:trPr>
          <w:trHeight w:val="210"/>
          <w:tblHeader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2020</w:t>
            </w:r>
          </w:p>
          <w:p w:rsidR="00067A01" w:rsidRDefault="00067A01" w:rsidP="00FF0D1E">
            <w:pPr>
              <w:jc w:val="center"/>
            </w:pPr>
            <w:r>
              <w:t>год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2021</w:t>
            </w:r>
          </w:p>
          <w:p w:rsidR="00067A01" w:rsidRDefault="00067A01" w:rsidP="00FF0D1E">
            <w:pPr>
              <w:jc w:val="center"/>
            </w:pPr>
            <w:r>
              <w:t>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2022</w:t>
            </w:r>
          </w:p>
          <w:p w:rsidR="00067A01" w:rsidRDefault="00067A01" w:rsidP="00FF0D1E">
            <w:pPr>
              <w:jc w:val="center"/>
            </w:pPr>
            <w:r>
              <w:t>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2023</w:t>
            </w:r>
          </w:p>
          <w:p w:rsidR="00067A01" w:rsidRDefault="00067A01" w:rsidP="00FF0D1E">
            <w:pPr>
              <w:jc w:val="center"/>
            </w:pPr>
            <w:r>
              <w:t>год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center"/>
            </w:pPr>
            <w:r>
              <w:t>2024</w:t>
            </w:r>
          </w:p>
          <w:p w:rsidR="00067A01" w:rsidRDefault="00067A01" w:rsidP="00FF0D1E">
            <w:pPr>
              <w:jc w:val="center"/>
            </w:pPr>
            <w:bookmarkStart w:id="0" w:name="_GoBack"/>
            <w:bookmarkEnd w:id="0"/>
            <w: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A01" w:rsidRDefault="00067A01" w:rsidP="00FF0D1E">
            <w:pPr>
              <w:snapToGrid w:val="0"/>
              <w:jc w:val="center"/>
            </w:pPr>
            <w:r>
              <w:t>всего</w:t>
            </w:r>
          </w:p>
        </w:tc>
        <w:tc>
          <w:tcPr>
            <w:tcW w:w="5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snapToGrid w:val="0"/>
              <w:jc w:val="center"/>
            </w:pPr>
          </w:p>
        </w:tc>
      </w:tr>
      <w:tr w:rsidR="00067A01" w:rsidTr="00FF0D1E">
        <w:trPr>
          <w:trHeight w:val="21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jc w:val="both"/>
            </w:pPr>
            <w:r>
              <w:t xml:space="preserve">Освобождение </w:t>
            </w:r>
            <w:r w:rsidRPr="005A2743">
              <w:rPr>
                <w:color w:val="auto"/>
              </w:rPr>
              <w:t>организаций</w:t>
            </w:r>
            <w:r>
              <w:t xml:space="preserve"> от уплаты транспортного налога </w:t>
            </w:r>
            <w:r w:rsidRPr="005A2743">
              <w:rPr>
                <w:color w:val="auto"/>
              </w:rPr>
              <w:t>в отношении транспортных средств, оборудованных для использования</w:t>
            </w:r>
            <w:r>
              <w:t xml:space="preserve"> природного газа в качестве моторного топлива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Pr="005A2743" w:rsidRDefault="00067A01" w:rsidP="00FF0D1E">
            <w:r w:rsidRPr="005A2743">
              <w:rPr>
                <w:rFonts w:ascii="Times New Roman" w:hAnsi="Times New Roman" w:cs="Times New Roman"/>
              </w:rPr>
              <w:t xml:space="preserve">объем реализации природного газа в </w:t>
            </w:r>
            <w:r w:rsidRPr="00C97A88">
              <w:rPr>
                <w:rFonts w:ascii="Times New Roman" w:hAnsi="Times New Roman" w:cs="Times New Roman"/>
              </w:rPr>
              <w:t xml:space="preserve">качестве моторного топлива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Pr="005A2743" w:rsidRDefault="00067A01" w:rsidP="00FF0D1E">
            <w:pPr>
              <w:pStyle w:val="ConsPlusNormal"/>
              <w:ind w:hanging="106"/>
              <w:jc w:val="center"/>
              <w:rPr>
                <w:sz w:val="24"/>
              </w:rPr>
            </w:pPr>
            <w:r w:rsidRPr="005A2743">
              <w:rPr>
                <w:rFonts w:ascii="Times New Roman" w:hAnsi="Times New Roman" w:cs="Times New Roman"/>
                <w:sz w:val="24"/>
              </w:rPr>
              <w:t>4621,88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Pr="005A2743" w:rsidRDefault="00067A01" w:rsidP="00FF0D1E">
            <w:pPr>
              <w:snapToGrid w:val="0"/>
              <w:ind w:hanging="106"/>
              <w:jc w:val="center"/>
            </w:pPr>
            <w:r w:rsidRPr="005A2743">
              <w:rPr>
                <w:rFonts w:ascii="Times New Roman" w:hAnsi="Times New Roman" w:cs="Times New Roman"/>
              </w:rPr>
              <w:t>6311,55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Pr="005A2743" w:rsidRDefault="00067A01" w:rsidP="00FF0D1E">
            <w:pPr>
              <w:snapToGrid w:val="0"/>
              <w:ind w:hanging="106"/>
              <w:jc w:val="center"/>
            </w:pPr>
            <w:r w:rsidRPr="005A2743">
              <w:rPr>
                <w:rFonts w:ascii="Times New Roman" w:hAnsi="Times New Roman" w:cs="Times New Roman"/>
              </w:rPr>
              <w:t>7194,08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Pr="005A2743" w:rsidRDefault="00067A01" w:rsidP="00FF0D1E">
            <w:pPr>
              <w:snapToGrid w:val="0"/>
              <w:ind w:hanging="106"/>
              <w:jc w:val="center"/>
            </w:pPr>
            <w:r w:rsidRPr="005A2743">
              <w:rPr>
                <w:rFonts w:ascii="Times New Roman" w:hAnsi="Times New Roman" w:cs="Times New Roman"/>
              </w:rPr>
              <w:t>7811,58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01" w:rsidRPr="005A2743" w:rsidRDefault="00067A01" w:rsidP="00FF0D1E">
            <w:pPr>
              <w:snapToGrid w:val="0"/>
              <w:ind w:hanging="106"/>
              <w:jc w:val="center"/>
            </w:pPr>
            <w:r w:rsidRPr="005A2743">
              <w:rPr>
                <w:rFonts w:ascii="Times New Roman" w:hAnsi="Times New Roman" w:cs="Times New Roman"/>
              </w:rPr>
              <w:t>8379,11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A01" w:rsidRPr="00FC0CEC" w:rsidRDefault="00067A01" w:rsidP="00FF0D1E">
            <w:pPr>
              <w:pStyle w:val="formattext"/>
              <w:shd w:val="clear" w:color="auto" w:fill="FFFFFF"/>
              <w:spacing w:before="0" w:after="0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34318,20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01" w:rsidRDefault="00067A01" w:rsidP="00FF0D1E">
            <w:pPr>
              <w:pStyle w:val="formattext"/>
              <w:shd w:val="clear" w:color="auto" w:fill="FFFFFF"/>
              <w:spacing w:before="0" w:after="0"/>
              <w:jc w:val="both"/>
              <w:textAlignment w:val="baseline"/>
            </w:pPr>
            <w:r>
              <w:rPr>
                <w:spacing w:val="2"/>
              </w:rPr>
              <w:t>р</w:t>
            </w:r>
            <w:r w:rsidRPr="00FC0CEC">
              <w:rPr>
                <w:spacing w:val="2"/>
              </w:rPr>
              <w:t xml:space="preserve">азвитие газозаправочной сети и перевод техники на использование природного газа в качестве моторного топлива позволят достичь комплексного социально-экономического </w:t>
            </w:r>
            <w:proofErr w:type="gramStart"/>
            <w:r w:rsidRPr="00FC0CEC">
              <w:rPr>
                <w:spacing w:val="2"/>
              </w:rPr>
              <w:t>эф</w:t>
            </w:r>
            <w:r>
              <w:rPr>
                <w:spacing w:val="2"/>
              </w:rPr>
              <w:t>-</w:t>
            </w:r>
            <w:proofErr w:type="spellStart"/>
            <w:r w:rsidRPr="00FC0CEC">
              <w:rPr>
                <w:spacing w:val="2"/>
              </w:rPr>
              <w:t>фекта</w:t>
            </w:r>
            <w:proofErr w:type="spellEnd"/>
            <w:proofErr w:type="gramEnd"/>
            <w:r w:rsidRPr="00FC0CEC">
              <w:rPr>
                <w:spacing w:val="2"/>
              </w:rPr>
              <w:t xml:space="preserve">. Компримированный природный газ экономически привлекателен для потребителей и относится к экологически чистым видам моторного топлива. </w:t>
            </w:r>
            <w:r>
              <w:rPr>
                <w:spacing w:val="2"/>
              </w:rPr>
              <w:t>П</w:t>
            </w:r>
            <w:r w:rsidRPr="00FC0CEC">
              <w:rPr>
                <w:spacing w:val="2"/>
              </w:rPr>
              <w:t>еревод техники на использование природного газа в качестве моторного топлива может способствовать реализации национальных проектов в области здравоохранения за счет снижения негативного воздействия на окружающую среду</w:t>
            </w:r>
            <w:r>
              <w:rPr>
                <w:spacing w:val="2"/>
              </w:rPr>
              <w:t>,</w:t>
            </w:r>
            <w:r w:rsidRPr="00FC0CEC">
              <w:rPr>
                <w:spacing w:val="2"/>
              </w:rPr>
              <w:t xml:space="preserve"> </w:t>
            </w:r>
            <w:r>
              <w:rPr>
                <w:spacing w:val="2"/>
              </w:rPr>
              <w:t>а также</w:t>
            </w:r>
            <w:r w:rsidRPr="00FC0CEC">
              <w:rPr>
                <w:spacing w:val="2"/>
              </w:rPr>
              <w:t xml:space="preserve"> </w:t>
            </w:r>
            <w:r>
              <w:rPr>
                <w:spacing w:val="2"/>
              </w:rPr>
              <w:t>уменьшению</w:t>
            </w:r>
            <w:r w:rsidRPr="00FC0CEC">
              <w:rPr>
                <w:spacing w:val="2"/>
              </w:rPr>
              <w:t xml:space="preserve"> стоимости конечного продукта за счет </w:t>
            </w:r>
            <w:r>
              <w:rPr>
                <w:spacing w:val="2"/>
              </w:rPr>
              <w:t>снижения</w:t>
            </w:r>
            <w:r w:rsidRPr="00FC0CEC">
              <w:rPr>
                <w:spacing w:val="2"/>
              </w:rPr>
              <w:t xml:space="preserve"> затрат на топливо</w:t>
            </w:r>
          </w:p>
        </w:tc>
      </w:tr>
    </w:tbl>
    <w:p w:rsidR="001553C8" w:rsidRDefault="00067A01" w:rsidP="00314B5E">
      <w:pPr>
        <w:spacing w:line="720" w:lineRule="exact"/>
        <w:jc w:val="center"/>
      </w:pPr>
      <w:r>
        <w:t>_____________</w:t>
      </w:r>
    </w:p>
    <w:sectPr w:rsidR="001553C8" w:rsidSect="00B911C9">
      <w:headerReference w:type="first" r:id="rId7"/>
      <w:pgSz w:w="16838" w:h="11906" w:orient="landscape"/>
      <w:pgMar w:top="1279" w:right="816" w:bottom="567" w:left="1134" w:header="720" w:footer="426" w:gutter="0"/>
      <w:pgNumType w:start="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00" w:rsidRDefault="00123E00" w:rsidP="00067A01">
      <w:r>
        <w:separator/>
      </w:r>
    </w:p>
  </w:endnote>
  <w:endnote w:type="continuationSeparator" w:id="0">
    <w:p w:rsidR="00123E00" w:rsidRDefault="00123E00" w:rsidP="0006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00" w:rsidRDefault="00123E00" w:rsidP="00067A01">
      <w:r>
        <w:separator/>
      </w:r>
    </w:p>
  </w:footnote>
  <w:footnote w:type="continuationSeparator" w:id="0">
    <w:p w:rsidR="00123E00" w:rsidRDefault="00123E00" w:rsidP="0006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17315"/>
      <w:docPartObj>
        <w:docPartGallery w:val="Page Numbers (Top of Page)"/>
        <w:docPartUnique/>
      </w:docPartObj>
    </w:sdtPr>
    <w:sdtEndPr/>
    <w:sdtContent>
      <w:p w:rsidR="00314B5E" w:rsidRDefault="00AC22EE">
        <w:pPr>
          <w:pStyle w:val="a3"/>
          <w:jc w:val="center"/>
        </w:pPr>
        <w:r>
          <w:t>46</w:t>
        </w:r>
      </w:p>
    </w:sdtContent>
  </w:sdt>
  <w:p w:rsidR="00314B5E" w:rsidRDefault="00314B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01"/>
    <w:rsid w:val="00067A01"/>
    <w:rsid w:val="00123E00"/>
    <w:rsid w:val="001553C8"/>
    <w:rsid w:val="001D38EA"/>
    <w:rsid w:val="002D076A"/>
    <w:rsid w:val="00314B5E"/>
    <w:rsid w:val="003F239F"/>
    <w:rsid w:val="004557E4"/>
    <w:rsid w:val="00940825"/>
    <w:rsid w:val="00AC22EE"/>
    <w:rsid w:val="00B55A35"/>
    <w:rsid w:val="00B911C9"/>
    <w:rsid w:val="00EA20AF"/>
    <w:rsid w:val="00EB0777"/>
    <w:rsid w:val="00F2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01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A01"/>
    <w:pPr>
      <w:suppressAutoHyphens/>
      <w:spacing w:after="0" w:line="240" w:lineRule="auto"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067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A0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5">
    <w:name w:val="footer"/>
    <w:basedOn w:val="a"/>
    <w:link w:val="a6"/>
    <w:rsid w:val="00067A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7A0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customStyle="1" w:styleId="formattext">
    <w:name w:val="formattext"/>
    <w:basedOn w:val="a"/>
    <w:rsid w:val="00067A01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01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A01"/>
    <w:pPr>
      <w:suppressAutoHyphens/>
      <w:spacing w:after="0" w:line="240" w:lineRule="auto"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067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A0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5">
    <w:name w:val="footer"/>
    <w:basedOn w:val="a"/>
    <w:link w:val="a6"/>
    <w:rsid w:val="00067A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7A0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customStyle="1" w:styleId="formattext">
    <w:name w:val="formattext"/>
    <w:basedOn w:val="a"/>
    <w:rsid w:val="00067A01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2020-11-13T13:45:00Z</cp:lastPrinted>
  <dcterms:created xsi:type="dcterms:W3CDTF">2020-11-20T12:07:00Z</dcterms:created>
  <dcterms:modified xsi:type="dcterms:W3CDTF">2020-11-23T06:43:00Z</dcterms:modified>
</cp:coreProperties>
</file>